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金沙江银江水电站工程测量中心</w:t>
      </w:r>
      <w:r>
        <w:rPr>
          <w:rFonts w:hint="eastAsia" w:hAnsi="宋体" w:cs="宋体"/>
          <w:b/>
          <w:bCs w:val="0"/>
          <w:color w:val="auto"/>
          <w:sz w:val="44"/>
          <w:szCs w:val="44"/>
          <w:lang w:eastAsia="zh-CN"/>
        </w:rPr>
        <w:t>标段</w:t>
      </w:r>
    </w:p>
    <w:p>
      <w:pPr>
        <w:adjustRightIn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招标公告</w:t>
      </w:r>
    </w:p>
    <w:p>
      <w:pPr>
        <w:pStyle w:val="3"/>
        <w:spacing w:before="0" w:after="0" w:line="360" w:lineRule="auto"/>
        <w:rPr>
          <w:rFonts w:hint="eastAsia" w:ascii="宋体" w:hAnsi="宋体" w:eastAsia="宋体" w:cs="宋体"/>
          <w:color w:val="auto"/>
        </w:rPr>
      </w:pPr>
      <w:bookmarkStart w:id="0" w:name="_Toc33191985"/>
      <w:r>
        <w:rPr>
          <w:rFonts w:hint="eastAsia" w:ascii="宋体" w:hAnsi="宋体" w:eastAsia="宋体" w:cs="宋体"/>
          <w:color w:val="auto"/>
        </w:rPr>
        <w:t>1.1  招标条件</w:t>
      </w:r>
      <w:bookmarkEnd w:id="0"/>
    </w:p>
    <w:p>
      <w:pPr>
        <w:pStyle w:val="7"/>
        <w:spacing w:beforeLines="0" w:afterLines="0" w:line="360" w:lineRule="auto"/>
        <w:ind w:firstLine="576" w:firstLineChars="205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1" w:name="_Toc286232501"/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1.1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本招标项目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金沙江银江水电站</w:t>
      </w:r>
      <w:bookmarkStart w:id="16" w:name="_GoBack"/>
      <w:bookmarkEnd w:id="16"/>
      <w:r>
        <w:rPr>
          <w:rFonts w:hint="eastAsia" w:ascii="宋体" w:hAnsi="宋体" w:eastAsia="宋体" w:cs="宋体"/>
          <w:color w:val="auto"/>
          <w:sz w:val="28"/>
          <w:szCs w:val="28"/>
        </w:rPr>
        <w:t>（项目名称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已由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四川省发展和改革委员会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（项目审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、核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或备案机关名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称</w:t>
      </w:r>
      <w:r>
        <w:rPr>
          <w:rFonts w:hint="eastAsia" w:ascii="宋体" w:hAnsi="宋体" w:eastAsia="宋体" w:cs="宋体"/>
          <w:color w:val="auto"/>
          <w:spacing w:val="-15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以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川发改能源〔2018〕175 号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批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名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及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号</w:t>
      </w:r>
      <w:r>
        <w:rPr>
          <w:rFonts w:hint="eastAsia" w:ascii="宋体" w:hAnsi="宋体" w:eastAsia="宋体" w:cs="宋体"/>
          <w:color w:val="auto"/>
          <w:spacing w:val="-17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准建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设</w:t>
      </w:r>
      <w:r>
        <w:rPr>
          <w:rFonts w:hint="eastAsia" w:ascii="宋体" w:hAnsi="宋体" w:eastAsia="宋体" w:cs="宋体"/>
          <w:color w:val="auto"/>
          <w:spacing w:val="-17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业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攀枝花华润水电开发有限公司</w:t>
      </w:r>
      <w:r>
        <w:rPr>
          <w:rFonts w:hint="eastAsia" w:ascii="宋体" w:hAnsi="宋体" w:eastAsia="宋体" w:cs="宋体"/>
          <w:color w:val="auto"/>
          <w:spacing w:val="-17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建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来</w:t>
      </w:r>
      <w:r>
        <w:rPr>
          <w:rFonts w:hint="eastAsia" w:ascii="宋体" w:hAnsi="宋体" w:eastAsia="宋体" w:cs="宋体"/>
          <w:color w:val="auto"/>
          <w:spacing w:val="-1"/>
          <w:sz w:val="28"/>
          <w:szCs w:val="28"/>
        </w:rPr>
        <w:t>自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自筹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来源</w:t>
      </w:r>
      <w:r>
        <w:rPr>
          <w:rFonts w:hint="eastAsia" w:ascii="宋体" w:hAnsi="宋体" w:eastAsia="宋体" w:cs="宋体"/>
          <w:color w:val="auto"/>
          <w:spacing w:val="-108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pacing w:val="-2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出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比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自筹20% 、银行贷款 80%</w:t>
      </w:r>
      <w:r>
        <w:rPr>
          <w:rFonts w:hint="eastAsia" w:ascii="宋体" w:hAnsi="宋体" w:eastAsia="宋体" w:cs="宋体"/>
          <w:color w:val="auto"/>
          <w:spacing w:val="-2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攀枝花华润水电开发有限公司</w:t>
      </w:r>
      <w:r>
        <w:rPr>
          <w:rFonts w:hint="eastAsia" w:ascii="宋体" w:hAnsi="宋体" w:eastAsia="宋体" w:cs="宋体"/>
          <w:color w:val="auto"/>
          <w:spacing w:val="-22"/>
          <w:sz w:val="28"/>
          <w:szCs w:val="28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备招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标条件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现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该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目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的</w:t>
      </w:r>
      <w:r>
        <w:rPr>
          <w:rFonts w:hint="eastAsia" w:ascii="宋体" w:hAnsi="宋体" w:eastAsia="宋体" w:cs="宋体"/>
          <w:b/>
          <w:color w:val="auto"/>
          <w:spacing w:val="-3"/>
          <w:sz w:val="28"/>
          <w:szCs w:val="28"/>
          <w:u w:val="single"/>
        </w:rPr>
        <w:t>测量中心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进行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公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开</w:t>
      </w:r>
      <w:r>
        <w:rPr>
          <w:rFonts w:hint="eastAsia" w:ascii="宋体" w:hAnsi="宋体" w:eastAsia="宋体" w:cs="宋体"/>
          <w:color w:val="auto"/>
          <w:spacing w:val="-3"/>
          <w:sz w:val="28"/>
          <w:szCs w:val="28"/>
        </w:rPr>
        <w:t>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标。</w:t>
      </w:r>
    </w:p>
    <w:p>
      <w:pPr>
        <w:pStyle w:val="8"/>
        <w:spacing w:line="360" w:lineRule="auto"/>
        <w:ind w:firstLine="617" w:firstLineChars="20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1.2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本招标项目为四川省行政区域内的国家投资工程建设项目，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四川省发展和改革委员会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（核准机关名称）核准（招标事项核准文号为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川发改法规函〔2019〕1321号）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）的招标组织形式为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自行招标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3"/>
        <w:spacing w:before="0" w:after="0" w:line="360" w:lineRule="auto"/>
        <w:rPr>
          <w:rFonts w:hint="eastAsia" w:ascii="宋体" w:hAnsi="宋体" w:eastAsia="宋体" w:cs="宋体"/>
          <w:color w:val="auto"/>
        </w:rPr>
      </w:pPr>
      <w:bookmarkStart w:id="2" w:name="_Toc33191986"/>
      <w:r>
        <w:rPr>
          <w:rFonts w:hint="eastAsia" w:ascii="宋体" w:hAnsi="宋体" w:eastAsia="宋体" w:cs="宋体"/>
          <w:color w:val="auto"/>
        </w:rPr>
        <w:t>1.2  项目概况与招标内容</w:t>
      </w:r>
      <w:bookmarkEnd w:id="2"/>
    </w:p>
    <w:bookmarkEnd w:id="1"/>
    <w:p>
      <w:pPr>
        <w:pStyle w:val="8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1.2.1  项目概况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银江水电站位于金沙江中游攀枝花河段末端——金沙江和雅砻江汇合口上游约3.6 km，上距攀枝花市主城区（攀枝花水文断面）约10 km，上游衔接梯级为金沙水电站，两梯级相距21.39 km，控制流域面积25.98万km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，多年平均流量1870 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/s，年径流量590亿m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水库正常蓄水位998.5m，死水位998.0m，总库容5940万m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，调节库容180万m</w:t>
      </w:r>
      <w:r>
        <w:rPr>
          <w:rFonts w:hint="eastAsia" w:ascii="宋体" w:hAnsi="宋体" w:eastAsia="宋体" w:cs="宋体"/>
          <w:color w:val="auto"/>
          <w:sz w:val="28"/>
          <w:szCs w:val="28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，库容系数0.003%，为径流式电站。电站装机容量390MW，最大坝高73m，多年平均年发电量15.69/18.34亿kW·h。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银江水电站的主要开发任务为发电，兼有供水、改善城市水域景观和取水条件等。</w:t>
      </w:r>
    </w:p>
    <w:p>
      <w:pPr>
        <w:pStyle w:val="8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1.2.2  招标范围及合同主要工作内容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1.2.2.1  本合同项目的招标范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围</w:t>
      </w:r>
    </w:p>
    <w:p>
      <w:pPr>
        <w:spacing w:line="360" w:lineRule="auto"/>
        <w:ind w:firstLine="56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（1）受招标人委托对金沙江银江水电站工程主体工程项目、临建工程项目和附属工程项目（银江大桥、料场、渣场等）等提供工程测量及相关的技术服务。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（2）代表招标人对监理单位和施工单位的测量工作进行监督、管理。</w:t>
      </w:r>
    </w:p>
    <w:p>
      <w:pPr>
        <w:pStyle w:val="2"/>
        <w:spacing w:after="0"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（3）配合招标人做好征地移民零星的测量工作。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1.2.2.2 合同主要工作内容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本招标项目的合同主要工作内容如下（不限于）：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（1）工程测量中心的工作职责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工程测量中心受招标人委托履行以下职责：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）承担工程测量的招标人管理职责。包括审核施工单位提交的测量实施方案、主要技术措施、测量设备及限差要求，监督施工单位测量放样，检查施工测站点、轴线和辅助轴线点、高程加密网点等，并根据检查结果确定是否需要复测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2）负责银江水电站招标人建立的施工主控制网的复测、维护、管理、损毁恢复等工作，负责审查施工单位的加密控制网测量及复测成果；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3）参加基础验收、单项工程检查验收等工作，做好工程土石方、砼工程等与测量有关的工程量计量复测和审核，并做好竣工测量资料的收集整理工作；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4）负责与施工单位联合复测工程部位的原始地形（断面），并审核确认施工单位提交的原始地形（断面）资料；并做好竣工测量资料的收集整理工作；</w:t>
      </w:r>
    </w:p>
    <w:p>
      <w:pPr>
        <w:pStyle w:val="2"/>
        <w:ind w:firstLine="56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5）负责开挖基础面的复测，并进行开挖质量评价；负责复测建筑物外观体型；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6）按招标人指示对需要校核的工程部位进行测量，并提交相应的测量成果报告；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7）完成招标人布置的施工区内与本工程有关的零星测量任务；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8）根据工程需要，承担与地方政府测绘管理部门、设计单位的联络和协调工作；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9）熟悉掌握国家、行业的各种测量标准、规范和工程建设合同中有关测量的具体要求，熟悉银江水电站的施工测量控制网、基准测量点及其他测量资料；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10）完成与测量工作有关的各类总结报告。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11）以及相关的其它全部工作职责。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（2）工程测量中心的主要工作内容（但不限于）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1）对招标人建立的主施工测量控制网年度复测及维护管理，对损毁的控制网点负责恢复，负责参与主控制网点移交施工单位工作。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）审核施工单位的施工测量相关制度符合性，测量管理的规范性，审核施工单位的测量方案和成果；对各合同项目的测量质量进行检查，包括对各施工部位的重要测量点线进行复核，调阅、复测或检测施工单位提交的各类测量图纸、资料；收集、审查各施工单位的测绘资质、技术力量及个人资质、仪器检定证书等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3）各标段开工前原始地形复测（联合复测）、测量成果的审查和认定；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）土石方、混凝土等工程量复核测量及工程量复核及审核，包含中间结算计量、完工（竣工）计量的复核测量及工程量复核及审核。当实际工程量与设计工程量有争议时，工程测量中心负责复测和复核，向招标人和监理提供复核意见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5）开挖完成后建筑物建基面、边坡等地形或断面复测（联合复测），并根据有关规范对开挖质量（超欠挖）进行评价。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6）调阅、审查、必要时复测或检测施工单位提交的各合同项目的竣工测量图纸、资料，包括高程平面图、纵横断面图、形体测量、竣工平面图等。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7）根据需要开展局部地形图复核测绘。</w:t>
      </w:r>
    </w:p>
    <w:p>
      <w:pPr>
        <w:numPr>
          <w:ilvl w:val="0"/>
          <w:numId w:val="1"/>
        </w:numPr>
        <w:spacing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做好工程测量数据及图纸资料收集、整理、保管，定期提交招标人有关部门归档。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9）在工程进度结算审计、合同完工结算审计和工程竣工决算等审计中做好相关配合工作；</w:t>
      </w:r>
    </w:p>
    <w:p>
      <w:pPr>
        <w:spacing w:line="360" w:lineRule="auto"/>
        <w:ind w:firstLine="565" w:firstLineChars="20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10）按时编制测量工作的月报和年报，及时提交招标人。</w:t>
      </w:r>
    </w:p>
    <w:p>
      <w:pPr>
        <w:pStyle w:val="9"/>
        <w:spacing w:line="360" w:lineRule="auto"/>
        <w:ind w:firstLine="56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11）招标人安排的其他测量相关工作。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1.2.2.3 服务期限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本项目服务期：自2020年7月1日直至完成所有合同约定的工作完成（其中现场服务期为72个月）。</w:t>
      </w:r>
    </w:p>
    <w:p>
      <w:pPr>
        <w:pStyle w:val="3"/>
        <w:spacing w:before="0" w:after="0" w:line="360" w:lineRule="auto"/>
        <w:rPr>
          <w:rFonts w:hint="eastAsia" w:ascii="宋体" w:hAnsi="宋体" w:eastAsia="宋体" w:cs="宋体"/>
          <w:color w:val="auto"/>
        </w:rPr>
      </w:pPr>
      <w:bookmarkStart w:id="3" w:name="_Toc33191987"/>
      <w:r>
        <w:rPr>
          <w:rFonts w:hint="eastAsia" w:ascii="宋体" w:hAnsi="宋体" w:eastAsia="宋体" w:cs="宋体"/>
          <w:color w:val="auto"/>
        </w:rPr>
        <w:t>1.3  投标人资格要求</w:t>
      </w:r>
      <w:bookmarkEnd w:id="3"/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pStyle w:val="7"/>
        <w:spacing w:beforeLines="0" w:afterLines="0" w:line="360" w:lineRule="auto"/>
        <w:ind w:firstLine="561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3.1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本次招标投标人须具有独立法人资格或事业单位法人资格。</w:t>
      </w:r>
    </w:p>
    <w:p>
      <w:pPr>
        <w:pStyle w:val="7"/>
        <w:spacing w:before="120" w:after="120" w:line="360" w:lineRule="auto"/>
        <w:ind w:firstLine="561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3.2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资质要求：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国家测绘地理信息局颁发的工程测量甲级资质。</w:t>
      </w:r>
    </w:p>
    <w:p>
      <w:pPr>
        <w:pStyle w:val="7"/>
        <w:spacing w:before="120" w:after="120" w:line="360" w:lineRule="auto"/>
        <w:ind w:firstLine="561"/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3.3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业绩要求：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近5年内至少承担过1个II等大（2）型及以上水利水电工程业主测量技术服务业绩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（在建或完工）。</w:t>
      </w:r>
    </w:p>
    <w:p>
      <w:pPr>
        <w:pStyle w:val="7"/>
        <w:spacing w:before="120" w:after="120" w:line="360" w:lineRule="auto"/>
        <w:ind w:firstLine="561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3.4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本次招标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不接受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联合体投标。</w:t>
      </w:r>
    </w:p>
    <w:p>
      <w:pPr>
        <w:pStyle w:val="10"/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4" w:name="_Toc532913446"/>
      <w:bookmarkStart w:id="5" w:name="_Toc3386"/>
      <w:bookmarkStart w:id="6" w:name="_Toc3554756"/>
      <w:r>
        <w:rPr>
          <w:rFonts w:hint="eastAsia" w:ascii="宋体" w:hAnsi="宋体" w:eastAsia="宋体" w:cs="宋体"/>
          <w:color w:val="auto"/>
          <w:sz w:val="28"/>
          <w:szCs w:val="28"/>
        </w:rPr>
        <w:t>4、招标文件的获取</w:t>
      </w:r>
      <w:bookmarkEnd w:id="4"/>
      <w:bookmarkEnd w:id="5"/>
      <w:bookmarkEnd w:id="6"/>
    </w:p>
    <w:p>
      <w:pPr>
        <w:widowControl/>
        <w:spacing w:line="360" w:lineRule="auto"/>
        <w:ind w:firstLine="56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4.1 凡有意参加投标者，请于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2020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hAnsi="宋体" w:cs="宋体"/>
          <w:b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</w:t>
      </w:r>
      <w:r>
        <w:rPr>
          <w:rFonts w:hint="eastAsia" w:hAnsi="宋体" w:cs="宋体"/>
          <w:b/>
          <w:color w:val="auto"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日开始登陆全国公共资源交易平台（四川省）（http://ggzyjy.sc.gov.cn/）“国家投资建设工程类项目系统登录入口”，通过数字证书免费下载招标资料（招标文件等）。</w:t>
      </w:r>
    </w:p>
    <w:p>
      <w:pPr>
        <w:pStyle w:val="7"/>
        <w:spacing w:before="120" w:after="120"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4.2 招标人不提供其他任何报名和招标文件获取的方式。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7" w:name="_bookmark7"/>
      <w:bookmarkEnd w:id="7"/>
      <w:bookmarkStart w:id="8" w:name="_Toc18971"/>
      <w:bookmarkStart w:id="9" w:name="_Toc532913447"/>
      <w:bookmarkStart w:id="10" w:name="_Toc3554757"/>
      <w:r>
        <w:rPr>
          <w:rFonts w:hint="eastAsia" w:ascii="宋体" w:hAnsi="宋体" w:eastAsia="宋体" w:cs="宋体"/>
          <w:color w:val="auto"/>
          <w:sz w:val="28"/>
          <w:szCs w:val="28"/>
        </w:rPr>
        <w:t>5、投标文件的递交</w:t>
      </w:r>
      <w:bookmarkEnd w:id="8"/>
      <w:bookmarkEnd w:id="9"/>
      <w:bookmarkEnd w:id="10"/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11" w:name="_bookmark8"/>
      <w:bookmarkEnd w:id="11"/>
      <w:bookmarkStart w:id="12" w:name="_Toc3554758"/>
      <w:bookmarkStart w:id="13" w:name="_Toc532913448"/>
      <w:r>
        <w:rPr>
          <w:rFonts w:hint="eastAsia" w:ascii="宋体" w:hAnsi="宋体" w:eastAsia="宋体" w:cs="宋体"/>
          <w:color w:val="auto"/>
          <w:sz w:val="28"/>
          <w:szCs w:val="28"/>
        </w:rPr>
        <w:t>5.1 投标文件递交的截止时间（投标截止时间，下同）为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2020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hAnsi="宋体" w:cs="宋体"/>
          <w:b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</w:t>
      </w:r>
      <w:r>
        <w:rPr>
          <w:rFonts w:hint="eastAsia" w:hAnsi="宋体" w:cs="宋体"/>
          <w:b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华文中宋" w:hAnsi="华文中宋" w:eastAsia="华文中宋"/>
          <w:color w:val="auto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华文中宋" w:hAnsi="华文中宋" w:eastAsia="华文中宋"/>
          <w:color w:val="auto"/>
          <w:sz w:val="28"/>
          <w:szCs w:val="28"/>
          <w:highlight w:val="none"/>
        </w:rPr>
        <w:t>时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highlight w:val="none"/>
        </w:rPr>
        <w:t>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分，地点为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四川省政府政务服务和公共资源交易服务中心（成都市人民中路三段35号）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spacing w:line="360" w:lineRule="auto"/>
        <w:ind w:firstLine="560" w:firstLineChars="200"/>
        <w:rPr>
          <w:rFonts w:hint="eastAsia" w:ascii="宋体" w:hAnsi="宋体" w:eastAsia="宋体" w:cs="宋体"/>
          <w:b w:val="0"/>
          <w:color w:val="auto"/>
          <w:sz w:val="28"/>
          <w:szCs w:val="28"/>
        </w:rPr>
      </w:pPr>
      <w:bookmarkStart w:id="14" w:name="_Toc28896"/>
      <w:r>
        <w:rPr>
          <w:rFonts w:hint="eastAsia" w:ascii="宋体" w:hAnsi="宋体" w:eastAsia="宋体" w:cs="宋体"/>
          <w:b w:val="0"/>
          <w:color w:val="auto"/>
          <w:sz w:val="28"/>
          <w:szCs w:val="28"/>
        </w:rPr>
        <w:t>5.2 逾期送达的或者未送达指定地点的投标文件，招标人不予受理。</w:t>
      </w:r>
      <w:bookmarkEnd w:id="14"/>
    </w:p>
    <w:p>
      <w:pPr>
        <w:spacing w:line="360" w:lineRule="auto"/>
        <w:ind w:firstLine="561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6、发布公告的媒介</w:t>
      </w:r>
    </w:p>
    <w:bookmarkEnd w:id="12"/>
    <w:bookmarkEnd w:id="13"/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15" w:name="_bookmark10"/>
      <w:bookmarkEnd w:id="15"/>
      <w:r>
        <w:rPr>
          <w:rFonts w:hint="eastAsia" w:ascii="宋体" w:hAnsi="宋体" w:eastAsia="宋体" w:cs="宋体"/>
          <w:color w:val="auto"/>
          <w:sz w:val="28"/>
          <w:szCs w:val="28"/>
        </w:rPr>
        <w:t>本次招标公告在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>四川省投资集团有限责任公司、四川川投能源股份有限公司、四川省公共资源交易信息网《全国公共资源交易平台（四川省）》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(发布公告的所有媒介名称）上发布。</w:t>
      </w:r>
    </w:p>
    <w:p>
      <w:pPr>
        <w:spacing w:line="360" w:lineRule="auto"/>
        <w:ind w:firstLine="561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7、 联系方式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招标人：攀枝花华润水电开发有限公司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 攀枝花东区人民街29-41 号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邮编： 475000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联系人： 熊工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电话： 0812-5502032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传真： 0812-5550850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电子邮件：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网址：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开户银行：</w:t>
      </w:r>
    </w:p>
    <w:p>
      <w:pPr>
        <w:spacing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账号：</w:t>
      </w:r>
    </w:p>
    <w:p>
      <w:pPr>
        <w:pStyle w:val="11"/>
        <w:spacing w:line="360" w:lineRule="auto"/>
        <w:ind w:left="-120" w:right="-120" w:firstLine="560"/>
        <w:jc w:val="righ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2020 年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月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9D9B"/>
    <w:multiLevelType w:val="singleLevel"/>
    <w:tmpl w:val="1C909D9B"/>
    <w:lvl w:ilvl="0" w:tentative="0">
      <w:start w:val="8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A2064"/>
    <w:rsid w:val="3975436D"/>
    <w:rsid w:val="4CCA2064"/>
    <w:rsid w:val="61E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/>
      <w:ind w:firstLine="0" w:firstLineChars="0"/>
      <w:jc w:val="left"/>
      <w:outlineLvl w:val="1"/>
    </w:pPr>
    <w:rPr>
      <w:rFonts w:ascii="Arial" w:hAnsi="Arial" w:eastAsia="黑体"/>
      <w:sz w:val="3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unhideWhenUsed/>
    <w:qFormat/>
    <w:uiPriority w:val="0"/>
    <w:pPr>
      <w:ind w:firstLine="420"/>
    </w:pPr>
  </w:style>
  <w:style w:type="paragraph" w:customStyle="1" w:styleId="7">
    <w:name w:val="样式4"/>
    <w:basedOn w:val="1"/>
    <w:qFormat/>
    <w:uiPriority w:val="0"/>
    <w:pPr>
      <w:spacing w:beforeLines="50" w:afterLines="50" w:line="240" w:lineRule="auto"/>
      <w:ind w:firstLine="617"/>
    </w:pPr>
    <w:rPr>
      <w:rFonts w:ascii="Times New Roman" w:eastAsia="华文中宋"/>
      <w:color w:val="000000"/>
      <w:sz w:val="30"/>
      <w:szCs w:val="20"/>
    </w:rPr>
  </w:style>
  <w:style w:type="paragraph" w:customStyle="1" w:styleId="8">
    <w:name w:val="正文标题"/>
    <w:basedOn w:val="1"/>
    <w:qFormat/>
    <w:uiPriority w:val="0"/>
    <w:pPr>
      <w:adjustRightInd w:val="0"/>
      <w:snapToGrid w:val="0"/>
      <w:ind w:firstLine="0" w:firstLineChars="0"/>
      <w:jc w:val="left"/>
    </w:pPr>
    <w:rPr>
      <w:rFonts w:ascii="Arial" w:hAnsi="Arial"/>
      <w:snapToGrid w:val="0"/>
      <w:color w:val="000000"/>
      <w:spacing w:val="10"/>
      <w:kern w:val="0"/>
      <w:szCs w:val="20"/>
    </w:rPr>
  </w:style>
  <w:style w:type="paragraph" w:customStyle="1" w:styleId="9">
    <w:name w:val="样式 样式 样式 样式 样式 正  文 + 首行缩进:  2 字符 + 首行缩进:  2 字符 + 首行缩进:  2 字符1 +..."/>
    <w:basedOn w:val="1"/>
    <w:qFormat/>
    <w:uiPriority w:val="0"/>
    <w:pPr>
      <w:adjustRightInd w:val="0"/>
      <w:snapToGrid w:val="0"/>
      <w:textAlignment w:val="baseline"/>
    </w:pPr>
    <w:rPr>
      <w:rFonts w:hAnsi="宋体"/>
      <w:kern w:val="0"/>
      <w:szCs w:val="20"/>
    </w:rPr>
  </w:style>
  <w:style w:type="paragraph" w:customStyle="1" w:styleId="10">
    <w:name w:val="样式2"/>
    <w:basedOn w:val="1"/>
    <w:next w:val="1"/>
    <w:qFormat/>
    <w:uiPriority w:val="0"/>
    <w:pPr>
      <w:adjustRightInd w:val="0"/>
      <w:spacing w:line="446" w:lineRule="atLeast"/>
      <w:ind w:firstLine="142" w:firstLineChars="0"/>
      <w:textAlignment w:val="baseline"/>
    </w:pPr>
    <w:rPr>
      <w:rFonts w:ascii="Times New Roman" w:eastAsia="黑体"/>
      <w:b/>
      <w:kern w:val="0"/>
      <w:szCs w:val="20"/>
    </w:rPr>
  </w:style>
  <w:style w:type="paragraph" w:customStyle="1" w:styleId="11">
    <w:name w:val="样式7"/>
    <w:basedOn w:val="2"/>
    <w:qFormat/>
    <w:uiPriority w:val="0"/>
    <w:pPr>
      <w:adjustRightInd w:val="0"/>
      <w:spacing w:after="0"/>
      <w:ind w:firstLine="0" w:firstLineChars="0"/>
      <w:textAlignment w:val="baseline"/>
    </w:pPr>
    <w:rPr>
      <w:rFonts w:ascii="Arial" w:hAnsi="Arial" w:cs="Arial Unicode MS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2020-03-20T03:09:00Z</dcterms:created>
  <dc:creator>熊熊</dc:creator>
  <cp:lastModifiedBy>熊熊</cp:lastModifiedBy>
  <dcterms:modified xsi:type="dcterms:W3CDTF">2020-03-20T03:15:11Z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